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A9" w:rsidRDefault="00C953A9">
      <w:pPr>
        <w:pStyle w:val="Web1"/>
        <w:spacing w:before="0" w:after="0"/>
        <w:jc w:val="center"/>
        <w:rPr>
          <w:rFonts w:eastAsia="Times New Roman"/>
          <w:b/>
          <w:bCs/>
        </w:rPr>
      </w:pPr>
      <w:r>
        <w:rPr>
          <w:rFonts w:eastAsia="Times New Roman"/>
          <w:b/>
          <w:bCs/>
        </w:rPr>
        <w:t>ΣΥΛΛΟΓΟΣ  ΕΚΠΑΙΔΕΥΤΙΚΩΝ Π.Ε. ΗΛΙΟΥΠΟΛΗΣ</w:t>
      </w:r>
    </w:p>
    <w:p w:rsidR="00C953A9" w:rsidRDefault="00C953A9">
      <w:pPr>
        <w:pStyle w:val="Web1"/>
        <w:spacing w:before="0" w:after="0"/>
        <w:jc w:val="center"/>
        <w:rPr>
          <w:rFonts w:eastAsia="Times New Roman"/>
          <w:b/>
          <w:bCs/>
        </w:rPr>
      </w:pPr>
      <w:r>
        <w:rPr>
          <w:rFonts w:eastAsia="Times New Roman"/>
          <w:b/>
          <w:bCs/>
        </w:rPr>
        <w:t>“Μ.ΠΑΠΑΜΑΥΡΟΣ”</w:t>
      </w:r>
    </w:p>
    <w:p w:rsidR="00C953A9" w:rsidRDefault="00C953A9">
      <w:pPr>
        <w:pStyle w:val="Web1"/>
        <w:spacing w:before="0" w:after="0"/>
        <w:jc w:val="center"/>
      </w:pPr>
      <w:hyperlink r:id="rId5" w:history="1">
        <w:r>
          <w:rPr>
            <w:rStyle w:val="-"/>
          </w:rPr>
          <w:t xml:space="preserve">email </w:t>
        </w:r>
      </w:hyperlink>
      <w:hyperlink r:id="rId6" w:history="1">
        <w:r>
          <w:rPr>
            <w:rStyle w:val="-"/>
          </w:rPr>
          <w:t>sepeilioupolis@yahoo.gr</w:t>
        </w:r>
      </w:hyperlink>
      <w:hyperlink r:id="rId7" w:history="1">
        <w:r>
          <w:rPr>
            <w:rStyle w:val="-"/>
          </w:rPr>
          <w:t xml:space="preserve">       </w:t>
        </w:r>
      </w:hyperlink>
      <w:hyperlink r:id="rId8" w:history="1">
        <w:r>
          <w:rPr>
            <w:rStyle w:val="-"/>
          </w:rPr>
          <w:t>www.sepeilioupolis.gr</w:t>
        </w:r>
      </w:hyperlink>
      <w:r>
        <w:t xml:space="preserve"> </w:t>
      </w:r>
    </w:p>
    <w:tbl>
      <w:tblPr>
        <w:tblW w:w="9637" w:type="dxa"/>
        <w:tblInd w:w="-662" w:type="dxa"/>
        <w:tblLayout w:type="fixed"/>
        <w:tblCellMar>
          <w:top w:w="55" w:type="dxa"/>
          <w:left w:w="55" w:type="dxa"/>
          <w:bottom w:w="55" w:type="dxa"/>
          <w:right w:w="55" w:type="dxa"/>
        </w:tblCellMar>
        <w:tblLook w:val="0000"/>
      </w:tblPr>
      <w:tblGrid>
        <w:gridCol w:w="9637"/>
      </w:tblGrid>
      <w:tr w:rsidR="00C953A9">
        <w:tc>
          <w:tcPr>
            <w:tcW w:w="9637" w:type="dxa"/>
            <w:tcBorders>
              <w:bottom w:val="single" w:sz="1" w:space="0" w:color="000000"/>
            </w:tcBorders>
          </w:tcPr>
          <w:p w:rsidR="00C953A9" w:rsidRDefault="00C953A9">
            <w:pPr>
              <w:pStyle w:val="Web1"/>
              <w:snapToGrid w:val="0"/>
              <w:spacing w:before="0" w:after="0"/>
              <w:jc w:val="center"/>
            </w:pPr>
            <w:r>
              <w:t>Ακομινάτου 6   και  Παπαφλέσσα ,  16346  Ηλιούπολη</w:t>
            </w:r>
          </w:p>
        </w:tc>
      </w:tr>
    </w:tbl>
    <w:p w:rsidR="00C953A9" w:rsidRDefault="00D17BC9">
      <w:pPr>
        <w:jc w:val="right"/>
      </w:pPr>
      <w:r>
        <w:t>Ηλιούπολη 9/6</w:t>
      </w:r>
      <w:r w:rsidR="00C953A9">
        <w:t>/2015</w:t>
      </w:r>
    </w:p>
    <w:p w:rsidR="00C953A9" w:rsidRPr="003A0AEC" w:rsidRDefault="00C953A9">
      <w:pPr>
        <w:pStyle w:val="a3"/>
        <w:rPr>
          <w:sz w:val="32"/>
          <w:szCs w:val="32"/>
        </w:rPr>
      </w:pPr>
      <w:r>
        <w:t xml:space="preserve">                                                                                                                                Αρ.Πρ.:</w:t>
      </w:r>
      <w:r w:rsidR="003A0AEC">
        <w:rPr>
          <w:lang w:val="en-US"/>
        </w:rPr>
        <w:t>4</w:t>
      </w:r>
      <w:r w:rsidR="0055667B">
        <w:t>15</w:t>
      </w:r>
    </w:p>
    <w:p w:rsidR="00C953A9" w:rsidRDefault="00C953A9">
      <w:pPr>
        <w:spacing w:line="280" w:lineRule="atLeast"/>
        <w:rPr>
          <w:sz w:val="32"/>
          <w:szCs w:val="32"/>
        </w:rPr>
      </w:pPr>
    </w:p>
    <w:p w:rsidR="00C953A9" w:rsidRDefault="00C953A9">
      <w:pPr>
        <w:spacing w:line="280" w:lineRule="atLeast"/>
        <w:jc w:val="center"/>
        <w:rPr>
          <w:rFonts w:ascii="Verdana" w:hAnsi="Verdana"/>
          <w:b/>
        </w:rPr>
      </w:pPr>
      <w:r>
        <w:rPr>
          <w:rFonts w:ascii="Verdana" w:hAnsi="Verdana"/>
          <w:b/>
        </w:rPr>
        <w:t xml:space="preserve">ΕΝΗΜΕΡΩΤΙΚΟ </w:t>
      </w:r>
    </w:p>
    <w:p w:rsidR="00C953A9" w:rsidRDefault="00C953A9" w:rsidP="00E43727">
      <w:pPr>
        <w:spacing w:line="280" w:lineRule="atLeast"/>
        <w:rPr>
          <w:rFonts w:ascii="Verdana" w:hAnsi="Verdana"/>
        </w:rPr>
      </w:pPr>
      <w:r>
        <w:rPr>
          <w:rFonts w:ascii="Verdana" w:hAnsi="Verdana"/>
        </w:rPr>
        <w:t xml:space="preserve">ΘΕΜΑ: </w:t>
      </w:r>
      <w:r w:rsidR="00E43727">
        <w:rPr>
          <w:rFonts w:ascii="Verdana" w:hAnsi="Verdana"/>
        </w:rPr>
        <w:t>Σ</w:t>
      </w:r>
      <w:r>
        <w:rPr>
          <w:rFonts w:ascii="Verdana" w:hAnsi="Verdana"/>
        </w:rPr>
        <w:t>τήριξη των Αναπληρωτών</w:t>
      </w:r>
    </w:p>
    <w:p w:rsidR="00C953A9" w:rsidRDefault="00C953A9">
      <w:pPr>
        <w:spacing w:line="280" w:lineRule="atLeast"/>
        <w:rPr>
          <w:rFonts w:ascii="Verdana" w:hAnsi="Verdana"/>
        </w:rPr>
      </w:pPr>
      <w:r>
        <w:rPr>
          <w:rFonts w:ascii="Verdana" w:hAnsi="Verdana"/>
        </w:rPr>
        <w:t>Συναδέλφισσες – συνάδελφοι,</w:t>
      </w:r>
    </w:p>
    <w:p w:rsidR="00034A0E" w:rsidRDefault="00D17BC9" w:rsidP="00E43727">
      <w:pPr>
        <w:spacing w:line="280" w:lineRule="atLeast"/>
        <w:rPr>
          <w:rFonts w:ascii="Verdana" w:hAnsi="Verdana"/>
        </w:rPr>
      </w:pPr>
      <w:r>
        <w:rPr>
          <w:rFonts w:ascii="Verdana" w:hAnsi="Verdana"/>
        </w:rPr>
        <w:t>Ο Σ</w:t>
      </w:r>
      <w:r w:rsidR="00E43727">
        <w:rPr>
          <w:rFonts w:ascii="Verdana" w:hAnsi="Verdana"/>
        </w:rPr>
        <w:t>ύλλογό</w:t>
      </w:r>
      <w:r w:rsidR="00C953A9">
        <w:rPr>
          <w:rFonts w:ascii="Verdana" w:hAnsi="Verdana"/>
        </w:rPr>
        <w:t>ς μας στηρίζει την πανελλα</w:t>
      </w:r>
      <w:r w:rsidR="00E43727">
        <w:rPr>
          <w:rFonts w:ascii="Verdana" w:hAnsi="Verdana"/>
        </w:rPr>
        <w:t>δική κίνηση</w:t>
      </w:r>
      <w:r w:rsidR="00C953A9">
        <w:rPr>
          <w:rFonts w:ascii="Verdana" w:hAnsi="Verdana"/>
        </w:rPr>
        <w:t xml:space="preserve"> αναπληρωτών και ωρομισθίων για τη διεκδίκηση των δικαιωμάτων τους. </w:t>
      </w:r>
    </w:p>
    <w:p w:rsidR="00C953A9" w:rsidRDefault="00E43727" w:rsidP="005F04D3">
      <w:pPr>
        <w:numPr>
          <w:ilvl w:val="0"/>
          <w:numId w:val="8"/>
        </w:numPr>
        <w:spacing w:line="280" w:lineRule="atLeast"/>
        <w:rPr>
          <w:rFonts w:ascii="Verdana" w:hAnsi="Verdana"/>
          <w:b/>
          <w:bCs/>
        </w:rPr>
      </w:pPr>
      <w:r w:rsidRPr="00034A0E">
        <w:rPr>
          <w:rFonts w:ascii="Verdana" w:hAnsi="Verdana"/>
          <w:b/>
          <w:bCs/>
        </w:rPr>
        <w:t xml:space="preserve">Καλούμε </w:t>
      </w:r>
      <w:r w:rsidR="00097E46" w:rsidRPr="00034A0E">
        <w:rPr>
          <w:rFonts w:ascii="Verdana" w:hAnsi="Verdana"/>
          <w:b/>
          <w:bCs/>
        </w:rPr>
        <w:t xml:space="preserve">τα μέλη του Συλλόγου μας να συμμετάσχουν </w:t>
      </w:r>
      <w:r w:rsidRPr="00034A0E">
        <w:rPr>
          <w:rFonts w:ascii="Verdana" w:hAnsi="Verdana"/>
          <w:b/>
          <w:bCs/>
        </w:rPr>
        <w:t>στην πανελλαδική κινητοπο</w:t>
      </w:r>
      <w:r w:rsidR="00D17BC9">
        <w:rPr>
          <w:rFonts w:ascii="Verdana" w:hAnsi="Verdana"/>
          <w:b/>
          <w:bCs/>
        </w:rPr>
        <w:t xml:space="preserve">ίηση για τους αναπληρωτές </w:t>
      </w:r>
      <w:r w:rsidR="00097E46" w:rsidRPr="001A6644">
        <w:rPr>
          <w:rFonts w:ascii="Verdana" w:hAnsi="Verdana"/>
          <w:b/>
          <w:bCs/>
          <w:u w:val="single"/>
        </w:rPr>
        <w:t>στο Υπουργείο Παιδείας</w:t>
      </w:r>
      <w:r w:rsidR="00D17BC9">
        <w:rPr>
          <w:rFonts w:ascii="Verdana" w:hAnsi="Verdana"/>
          <w:b/>
          <w:bCs/>
        </w:rPr>
        <w:t>,</w:t>
      </w:r>
      <w:r w:rsidR="00097E46" w:rsidRPr="00034A0E">
        <w:rPr>
          <w:rFonts w:ascii="Verdana" w:hAnsi="Verdana"/>
          <w:b/>
          <w:bCs/>
        </w:rPr>
        <w:t xml:space="preserve"> </w:t>
      </w:r>
      <w:r w:rsidR="001A6644">
        <w:rPr>
          <w:rFonts w:ascii="Verdana" w:hAnsi="Verdana"/>
          <w:b/>
          <w:bCs/>
        </w:rPr>
        <w:t xml:space="preserve">το </w:t>
      </w:r>
      <w:r w:rsidR="001A6644" w:rsidRPr="001A6644">
        <w:rPr>
          <w:rFonts w:ascii="Verdana" w:hAnsi="Verdana"/>
          <w:b/>
          <w:bCs/>
          <w:u w:val="single"/>
        </w:rPr>
        <w:t>Σάββατο</w:t>
      </w:r>
      <w:r w:rsidR="00097E46" w:rsidRPr="001A6644">
        <w:rPr>
          <w:rFonts w:ascii="Verdana" w:hAnsi="Verdana"/>
          <w:b/>
          <w:bCs/>
          <w:u w:val="single"/>
        </w:rPr>
        <w:t xml:space="preserve"> 13/6</w:t>
      </w:r>
      <w:r w:rsidR="00051B42">
        <w:rPr>
          <w:rFonts w:ascii="Verdana" w:hAnsi="Verdana"/>
          <w:b/>
          <w:bCs/>
          <w:u w:val="single"/>
        </w:rPr>
        <w:t xml:space="preserve"> και ώρα 12.00</w:t>
      </w:r>
    </w:p>
    <w:p w:rsidR="005F04D3" w:rsidRDefault="005F04D3" w:rsidP="005F04D3">
      <w:pPr>
        <w:numPr>
          <w:ilvl w:val="0"/>
          <w:numId w:val="8"/>
        </w:numPr>
        <w:spacing w:line="280" w:lineRule="atLeast"/>
        <w:rPr>
          <w:rFonts w:ascii="Verdana" w:hAnsi="Verdana"/>
          <w:b/>
          <w:bCs/>
        </w:rPr>
      </w:pPr>
      <w:r>
        <w:rPr>
          <w:rFonts w:ascii="Verdana" w:hAnsi="Verdana"/>
          <w:b/>
          <w:bCs/>
        </w:rPr>
        <w:t>Σ</w:t>
      </w:r>
      <w:r w:rsidR="00D13A99">
        <w:rPr>
          <w:rFonts w:ascii="Verdana" w:hAnsi="Verdana"/>
          <w:b/>
          <w:bCs/>
        </w:rPr>
        <w:t>υνεχίζουμε τη συλλογή υπογραφών διεκδικώντας:</w:t>
      </w:r>
      <w:r>
        <w:rPr>
          <w:rFonts w:ascii="Verdana" w:hAnsi="Verdana"/>
          <w:b/>
          <w:bCs/>
        </w:rPr>
        <w:t xml:space="preserve"> </w:t>
      </w:r>
    </w:p>
    <w:p w:rsidR="005F04D3" w:rsidRDefault="005F04D3" w:rsidP="005F04D3">
      <w:pPr>
        <w:spacing w:line="280" w:lineRule="atLeast"/>
        <w:rPr>
          <w:rFonts w:ascii="Verdana" w:hAnsi="Verdana"/>
          <w:b/>
          <w:bCs/>
        </w:rPr>
      </w:pPr>
    </w:p>
    <w:p w:rsidR="00553F96" w:rsidRPr="001867A4" w:rsidRDefault="00553F96" w:rsidP="00553F96">
      <w:pPr>
        <w:pStyle w:val="Web"/>
        <w:numPr>
          <w:ilvl w:val="0"/>
          <w:numId w:val="7"/>
        </w:numPr>
        <w:pBdr>
          <w:top w:val="single" w:sz="4" w:space="1" w:color="auto"/>
          <w:left w:val="single" w:sz="4" w:space="4" w:color="auto"/>
          <w:bottom w:val="single" w:sz="4" w:space="1" w:color="auto"/>
          <w:right w:val="single" w:sz="4" w:space="4" w:color="auto"/>
        </w:pBdr>
        <w:spacing w:before="0" w:beforeAutospacing="0" w:after="0" w:afterAutospacing="0" w:line="280" w:lineRule="atLeast"/>
        <w:ind w:left="426"/>
        <w:jc w:val="both"/>
        <w:rPr>
          <w:rFonts w:ascii="Verdana" w:hAnsi="Verdana" w:cs="Tahoma"/>
          <w:sz w:val="20"/>
          <w:szCs w:val="20"/>
        </w:rPr>
      </w:pPr>
      <w:r w:rsidRPr="001867A4">
        <w:rPr>
          <w:rFonts w:ascii="Verdana" w:hAnsi="Verdana" w:cs="Tahoma"/>
          <w:sz w:val="20"/>
          <w:szCs w:val="20"/>
        </w:rPr>
        <w:t>Την κατάργηση όλων των ελαστικών σχέσεων εργασίας και τη μονιμοποίηση όλων των συμβασιούχων εκπαιδευτικών με βάση τον χρόνο λήψης του πτυχίου, ώστε να εξασφαλιστεί η κάλυψη των κενών σε εκπαιδευτικούς. Μόνιμη και σταθερή δουλειά για όλους.</w:t>
      </w:r>
    </w:p>
    <w:p w:rsidR="00C953A9" w:rsidRPr="001867A4" w:rsidRDefault="00C953A9">
      <w:pPr>
        <w:pStyle w:val="Web"/>
        <w:numPr>
          <w:ilvl w:val="0"/>
          <w:numId w:val="7"/>
        </w:numPr>
        <w:pBdr>
          <w:top w:val="single" w:sz="4" w:space="1" w:color="auto"/>
          <w:left w:val="single" w:sz="4" w:space="4" w:color="auto"/>
          <w:bottom w:val="single" w:sz="4" w:space="1" w:color="auto"/>
          <w:right w:val="single" w:sz="4" w:space="4" w:color="auto"/>
        </w:pBdr>
        <w:spacing w:before="0" w:beforeAutospacing="0" w:after="0" w:afterAutospacing="0" w:line="280" w:lineRule="atLeast"/>
        <w:ind w:left="426"/>
        <w:jc w:val="both"/>
        <w:rPr>
          <w:rFonts w:ascii="Verdana" w:hAnsi="Verdana" w:cs="Calibri"/>
          <w:sz w:val="20"/>
          <w:szCs w:val="20"/>
        </w:rPr>
      </w:pPr>
      <w:r w:rsidRPr="001867A4">
        <w:rPr>
          <w:rFonts w:ascii="Verdana" w:hAnsi="Verdana" w:cs="Calibri"/>
          <w:sz w:val="20"/>
          <w:szCs w:val="20"/>
        </w:rPr>
        <w:t>Σταθερή καταβολή του μισθού στο τέλος κάθε μήνα, την απόδοση όλων των δεδουλευμένων, τη μισθολογική αναγνώριση του μεταπτυχιακού τίτλου, την αναγνώριση άμεσα των μισθολογικών κλιμακίων και την αναδρομική καταβολή τους.</w:t>
      </w:r>
    </w:p>
    <w:p w:rsidR="00851065" w:rsidRPr="00851065" w:rsidRDefault="00851065">
      <w:pPr>
        <w:pStyle w:val="Web"/>
        <w:numPr>
          <w:ilvl w:val="0"/>
          <w:numId w:val="7"/>
        </w:numPr>
        <w:pBdr>
          <w:top w:val="single" w:sz="4" w:space="1" w:color="auto"/>
          <w:left w:val="single" w:sz="4" w:space="4" w:color="auto"/>
          <w:bottom w:val="single" w:sz="4" w:space="1" w:color="auto"/>
          <w:right w:val="single" w:sz="4" w:space="4" w:color="auto"/>
        </w:pBdr>
        <w:spacing w:line="280" w:lineRule="atLeast"/>
        <w:ind w:left="426"/>
        <w:jc w:val="both"/>
        <w:rPr>
          <w:rFonts w:ascii="Verdana" w:hAnsi="Verdana" w:cs="Calibri"/>
          <w:sz w:val="20"/>
          <w:szCs w:val="20"/>
        </w:rPr>
      </w:pPr>
      <w:r>
        <w:rPr>
          <w:rFonts w:ascii="Verdana" w:hAnsi="Verdana" w:cs="Calibri"/>
          <w:sz w:val="20"/>
          <w:szCs w:val="20"/>
        </w:rPr>
        <w:t xml:space="preserve">Την αναγνώριση προϋπηρεσίας των αναπληρωτών ΠΕ 60.50 και ΠΕ. 70.50. </w:t>
      </w:r>
      <w:r w:rsidRPr="00851065">
        <w:rPr>
          <w:rFonts w:ascii="Arial" w:hAnsi="Arial" w:cs="Arial"/>
          <w:color w:val="000000"/>
          <w:sz w:val="20"/>
          <w:szCs w:val="20"/>
        </w:rPr>
        <w:t>της Ειδικής αγωγής στη Γενική από το 2010 και μετά, για το διορισμό τους ως αναπληρωτές για τη νέα σχολική χρονιά.</w:t>
      </w:r>
    </w:p>
    <w:p w:rsidR="00C953A9" w:rsidRPr="001867A4" w:rsidRDefault="00C953A9">
      <w:pPr>
        <w:pStyle w:val="Web"/>
        <w:numPr>
          <w:ilvl w:val="0"/>
          <w:numId w:val="7"/>
        </w:numPr>
        <w:pBdr>
          <w:top w:val="single" w:sz="4" w:space="1" w:color="auto"/>
          <w:left w:val="single" w:sz="4" w:space="4" w:color="auto"/>
          <w:bottom w:val="single" w:sz="4" w:space="1" w:color="auto"/>
          <w:right w:val="single" w:sz="4" w:space="4" w:color="auto"/>
        </w:pBdr>
        <w:spacing w:line="280" w:lineRule="atLeast"/>
        <w:ind w:left="426"/>
        <w:jc w:val="both"/>
        <w:rPr>
          <w:rFonts w:ascii="Verdana" w:hAnsi="Verdana" w:cs="Calibri"/>
          <w:sz w:val="20"/>
          <w:szCs w:val="20"/>
        </w:rPr>
      </w:pPr>
      <w:r w:rsidRPr="001867A4">
        <w:rPr>
          <w:rFonts w:ascii="Verdana" w:hAnsi="Verdana" w:cs="Calibri"/>
          <w:sz w:val="20"/>
          <w:szCs w:val="20"/>
        </w:rPr>
        <w:t xml:space="preserve">Την καταβολή επιδότησης ενοικίου κι επιδόματος θέρμανσης, την εξασφάλιση δωρεάν μεταφοράς από και προς τον τόπο διαμονής και εργασίας, </w:t>
      </w:r>
      <w:r w:rsidRPr="001867A4">
        <w:rPr>
          <w:rFonts w:ascii="Verdana" w:hAnsi="Verdana" w:cs="Calibri"/>
          <w:sz w:val="20"/>
          <w:szCs w:val="20"/>
          <w:u w:val="single"/>
        </w:rPr>
        <w:t>την επιδότηση όλων των αναπληρωτών με επίδομα ανεργίας στα 600 ευρώ, χωρίς όρους και προϋποθέσεις και για όσο διάστημα διαρκεί η ανεργία.</w:t>
      </w:r>
    </w:p>
    <w:p w:rsidR="00C953A9" w:rsidRPr="001867A4" w:rsidRDefault="00C953A9">
      <w:pPr>
        <w:pStyle w:val="Web"/>
        <w:numPr>
          <w:ilvl w:val="0"/>
          <w:numId w:val="7"/>
        </w:numPr>
        <w:pBdr>
          <w:top w:val="single" w:sz="4" w:space="1" w:color="auto"/>
          <w:left w:val="single" w:sz="4" w:space="4" w:color="auto"/>
          <w:bottom w:val="single" w:sz="4" w:space="1" w:color="auto"/>
          <w:right w:val="single" w:sz="4" w:space="4" w:color="auto"/>
        </w:pBdr>
        <w:spacing w:line="280" w:lineRule="atLeast"/>
        <w:ind w:left="426"/>
        <w:jc w:val="both"/>
        <w:rPr>
          <w:rFonts w:ascii="Verdana" w:hAnsi="Verdana" w:cs="Calibri"/>
          <w:sz w:val="20"/>
          <w:szCs w:val="20"/>
        </w:rPr>
      </w:pPr>
      <w:r w:rsidRPr="001867A4">
        <w:rPr>
          <w:rFonts w:ascii="Verdana" w:hAnsi="Verdana" w:cs="Calibri"/>
          <w:sz w:val="20"/>
          <w:szCs w:val="20"/>
        </w:rPr>
        <w:t>Πλήρη δικαιώματα των αναπληρωτών εκπαιδευτικών σε περίπτωση ασθένειας, και φυσικά αναγνώριση της εκπαιδευτικής προϋπηρεσίας για όλη τη διάρκεια της αναρρωτικής τους άδειας, καθώς και την εξασφάλιση άδειας ανατροφής τέκνων σε όλους τους αναπληρωτές εκπαιδευτικούς, όπως ισχύει και στους μόνιμους εκπαιδευτικούς.</w:t>
      </w:r>
      <w:r w:rsidRPr="001867A4">
        <w:rPr>
          <w:rFonts w:ascii="Verdana" w:hAnsi="Verdana" w:cs="Tahoma"/>
          <w:color w:val="000000"/>
          <w:sz w:val="20"/>
          <w:szCs w:val="20"/>
        </w:rPr>
        <w:t xml:space="preserve"> Άμεση κατάργηση του ενδεχομένου απόλυσης - με απόφαση των οικείων ΠΥΣΠΕ -ΠΥΣΔΕ των αναπληρωτών σε περίπτωση εξάντλησης της δεκαπενθήμερης αναρρωτικής άδειας λόγω ασθένειας ή προβλημάτων υγείας.</w:t>
      </w:r>
    </w:p>
    <w:p w:rsidR="00C953A9" w:rsidRPr="001867A4" w:rsidRDefault="00553F96">
      <w:pPr>
        <w:pStyle w:val="Web"/>
        <w:numPr>
          <w:ilvl w:val="0"/>
          <w:numId w:val="7"/>
        </w:numPr>
        <w:pBdr>
          <w:top w:val="single" w:sz="4" w:space="1" w:color="auto"/>
          <w:left w:val="single" w:sz="4" w:space="4" w:color="auto"/>
          <w:bottom w:val="single" w:sz="4" w:space="1" w:color="auto"/>
          <w:right w:val="single" w:sz="4" w:space="4" w:color="auto"/>
        </w:pBdr>
        <w:spacing w:line="280" w:lineRule="atLeast"/>
        <w:ind w:left="426"/>
        <w:jc w:val="both"/>
        <w:rPr>
          <w:rFonts w:ascii="Verdana" w:hAnsi="Verdana" w:cs="Calibri"/>
          <w:sz w:val="20"/>
          <w:szCs w:val="20"/>
        </w:rPr>
      </w:pPr>
      <w:r>
        <w:rPr>
          <w:rFonts w:ascii="Verdana" w:hAnsi="Verdana" w:cs="Calibri"/>
          <w:sz w:val="20"/>
          <w:szCs w:val="20"/>
        </w:rPr>
        <w:t>Τ</w:t>
      </w:r>
      <w:r w:rsidR="00C953A9" w:rsidRPr="001867A4">
        <w:rPr>
          <w:rFonts w:ascii="Verdana" w:hAnsi="Verdana" w:cs="Calibri"/>
          <w:sz w:val="20"/>
          <w:szCs w:val="20"/>
        </w:rPr>
        <w:t>ην αναδρομική χορήγηση του επιδόματος Θέσης Ευθύνης σε όλους τους αναπληρωτές εκπαιδευτικούς που έχουν υπηρετήσει σε τέτοιες θέσεις, και πριν την 1-9-2013.</w:t>
      </w:r>
      <w:r w:rsidR="00034A0E" w:rsidRPr="001867A4">
        <w:rPr>
          <w:rFonts w:ascii="Verdana" w:hAnsi="Verdana" w:cs="Calibri"/>
          <w:sz w:val="20"/>
          <w:szCs w:val="20"/>
        </w:rPr>
        <w:t xml:space="preserve"> Συνολική κ</w:t>
      </w:r>
      <w:r w:rsidR="00E43727" w:rsidRPr="001867A4">
        <w:rPr>
          <w:rFonts w:ascii="Verdana" w:hAnsi="Verdana" w:cs="Calibri"/>
          <w:sz w:val="20"/>
          <w:szCs w:val="20"/>
        </w:rPr>
        <w:t>ατάργηση του Ν.3848/2010 (Διαμαντοπούλου).</w:t>
      </w:r>
    </w:p>
    <w:p w:rsidR="00C953A9" w:rsidRPr="001867A4" w:rsidRDefault="00C953A9">
      <w:pPr>
        <w:pStyle w:val="Web"/>
        <w:numPr>
          <w:ilvl w:val="0"/>
          <w:numId w:val="7"/>
        </w:numPr>
        <w:pBdr>
          <w:top w:val="single" w:sz="4" w:space="1" w:color="auto"/>
          <w:left w:val="single" w:sz="4" w:space="4" w:color="auto"/>
          <w:bottom w:val="single" w:sz="4" w:space="1" w:color="auto"/>
          <w:right w:val="single" w:sz="4" w:space="4" w:color="auto"/>
        </w:pBdr>
        <w:spacing w:line="280" w:lineRule="atLeast"/>
        <w:ind w:left="426"/>
        <w:jc w:val="both"/>
        <w:rPr>
          <w:rFonts w:ascii="Verdana" w:hAnsi="Verdana" w:cs="Calibri"/>
          <w:sz w:val="20"/>
          <w:szCs w:val="20"/>
        </w:rPr>
      </w:pPr>
      <w:r w:rsidRPr="001867A4">
        <w:rPr>
          <w:rFonts w:ascii="Verdana" w:hAnsi="Verdana" w:cs="Calibri"/>
          <w:sz w:val="20"/>
          <w:szCs w:val="20"/>
        </w:rPr>
        <w:t>Να αντιστοιχεί ένας εκπαιδευτικός παράλληλης στήριξης σε κάθε παιδί, όπως ίσχυε και παλιότερα.</w:t>
      </w:r>
    </w:p>
    <w:p w:rsidR="00D17BC9" w:rsidRPr="001867A4" w:rsidRDefault="00E43727">
      <w:pPr>
        <w:pStyle w:val="Web"/>
        <w:numPr>
          <w:ilvl w:val="0"/>
          <w:numId w:val="7"/>
        </w:numPr>
        <w:pBdr>
          <w:top w:val="single" w:sz="4" w:space="1" w:color="auto"/>
          <w:left w:val="single" w:sz="4" w:space="4" w:color="auto"/>
          <w:bottom w:val="single" w:sz="4" w:space="1" w:color="auto"/>
          <w:right w:val="single" w:sz="4" w:space="4" w:color="auto"/>
        </w:pBdr>
        <w:spacing w:before="0" w:beforeAutospacing="0" w:after="0" w:afterAutospacing="0" w:line="280" w:lineRule="atLeast"/>
        <w:ind w:left="426"/>
        <w:jc w:val="both"/>
        <w:rPr>
          <w:rFonts w:ascii="Verdana" w:hAnsi="Verdana" w:cs="Tahoma"/>
          <w:sz w:val="20"/>
          <w:szCs w:val="20"/>
        </w:rPr>
      </w:pPr>
      <w:r w:rsidRPr="001867A4">
        <w:rPr>
          <w:rFonts w:ascii="Verdana" w:hAnsi="Verdana" w:cs="Tahoma"/>
          <w:color w:val="000000"/>
          <w:sz w:val="20"/>
          <w:szCs w:val="20"/>
        </w:rPr>
        <w:t>Άρση της μονοετούς</w:t>
      </w:r>
      <w:r w:rsidR="00C953A9" w:rsidRPr="001867A4">
        <w:rPr>
          <w:rFonts w:ascii="Verdana" w:hAnsi="Verdana" w:cs="Tahoma"/>
          <w:color w:val="000000"/>
          <w:sz w:val="20"/>
          <w:szCs w:val="20"/>
        </w:rPr>
        <w:t xml:space="preserve"> τιμωρητικής διαγραφής από τους πίνακες σε περίπτωση άρνησης ανάληψης υπηρεσίας ή παραίτησης. Άμεση κατάργηση της ρύθμισης Αρβανιτόπουλου για μεταφορά των αναπληρωτών σε άλλη διεύθυνση από αυτήν της πρόσληψης και τοποθέτησης.</w:t>
      </w:r>
      <w:r w:rsidR="00034A0E" w:rsidRPr="001867A4">
        <w:rPr>
          <w:rFonts w:ascii="Verdana" w:hAnsi="Verdana" w:cs="Tahoma"/>
          <w:color w:val="000000"/>
          <w:sz w:val="20"/>
          <w:szCs w:val="20"/>
        </w:rPr>
        <w:t xml:space="preserve"> </w:t>
      </w:r>
    </w:p>
    <w:p w:rsidR="00851065" w:rsidRDefault="00C953A9" w:rsidP="00851065">
      <w:pPr>
        <w:pStyle w:val="Web"/>
        <w:numPr>
          <w:ilvl w:val="0"/>
          <w:numId w:val="7"/>
        </w:numPr>
        <w:pBdr>
          <w:top w:val="single" w:sz="4" w:space="1" w:color="auto"/>
          <w:left w:val="single" w:sz="4" w:space="4" w:color="auto"/>
          <w:bottom w:val="single" w:sz="4" w:space="1" w:color="auto"/>
          <w:right w:val="single" w:sz="4" w:space="4" w:color="auto"/>
        </w:pBdr>
        <w:spacing w:before="0" w:beforeAutospacing="0" w:after="0" w:afterAutospacing="0" w:line="280" w:lineRule="atLeast"/>
        <w:jc w:val="both"/>
        <w:rPr>
          <w:rFonts w:ascii="Verdana" w:hAnsi="Verdana" w:cs="Tahoma"/>
          <w:color w:val="000000"/>
          <w:sz w:val="20"/>
          <w:szCs w:val="20"/>
        </w:rPr>
      </w:pPr>
      <w:r w:rsidRPr="001867A4">
        <w:rPr>
          <w:rFonts w:ascii="Verdana" w:hAnsi="Verdana" w:cs="Tahoma"/>
          <w:color w:val="000000"/>
          <w:sz w:val="20"/>
          <w:szCs w:val="20"/>
        </w:rPr>
        <w:lastRenderedPageBreak/>
        <w:t>Επαναλειτουργία των αντισταθμιστικών προγραμμάτων της Ενισχυτικής Διδασκαλίας και της Πρόσθετης Διδακτικής Στήριξης από την αρχή του σχολικού έτους. Πλήρης διαφάνεια στις προσλήψεις αναπληρωτών στα προγράμματα αυτά από τον ενιαίο πίνακα αναπληρωτών.</w:t>
      </w:r>
    </w:p>
    <w:p w:rsidR="00B37046" w:rsidRPr="001867A4" w:rsidRDefault="00851065" w:rsidP="00851065">
      <w:pPr>
        <w:pStyle w:val="Web"/>
        <w:numPr>
          <w:ilvl w:val="0"/>
          <w:numId w:val="7"/>
        </w:numPr>
        <w:pBdr>
          <w:top w:val="single" w:sz="4" w:space="1" w:color="auto"/>
          <w:left w:val="single" w:sz="4" w:space="4" w:color="auto"/>
          <w:bottom w:val="single" w:sz="4" w:space="1" w:color="auto"/>
          <w:right w:val="single" w:sz="4" w:space="4" w:color="auto"/>
        </w:pBdr>
        <w:spacing w:before="0" w:beforeAutospacing="0" w:after="0" w:afterAutospacing="0" w:line="280" w:lineRule="atLeast"/>
        <w:jc w:val="both"/>
        <w:rPr>
          <w:rFonts w:ascii="Verdana" w:hAnsi="Verdana" w:cs="Tahoma"/>
          <w:color w:val="000000"/>
          <w:sz w:val="20"/>
          <w:szCs w:val="20"/>
        </w:rPr>
      </w:pPr>
      <w:r>
        <w:rPr>
          <w:rFonts w:ascii="Verdana" w:hAnsi="Verdana" w:cs="Tahoma"/>
          <w:color w:val="000000"/>
          <w:sz w:val="20"/>
          <w:szCs w:val="20"/>
        </w:rPr>
        <w:t xml:space="preserve"> Την </w:t>
      </w:r>
      <w:r w:rsidRPr="00FE41DF">
        <w:rPr>
          <w:sz w:val="20"/>
          <w:szCs w:val="20"/>
        </w:rPr>
        <w:t xml:space="preserve">προσμέτρηση διπλών μορίων </w:t>
      </w:r>
      <w:r>
        <w:rPr>
          <w:sz w:val="20"/>
          <w:szCs w:val="20"/>
        </w:rPr>
        <w:t xml:space="preserve">σε </w:t>
      </w:r>
      <w:r w:rsidRPr="00FE41DF">
        <w:rPr>
          <w:sz w:val="20"/>
          <w:szCs w:val="20"/>
        </w:rPr>
        <w:t>εκπαιδευτικούς που υπηρέτησαν σε δυσπρόσιτα σχολεία από 2010 -2014</w:t>
      </w:r>
      <w:r>
        <w:rPr>
          <w:sz w:val="20"/>
          <w:szCs w:val="20"/>
        </w:rPr>
        <w:t>.</w:t>
      </w:r>
      <w:r w:rsidR="00C953A9" w:rsidRPr="001867A4">
        <w:rPr>
          <w:rFonts w:ascii="Verdana" w:hAnsi="Verdana" w:cs="Tahoma"/>
          <w:color w:val="000000"/>
          <w:sz w:val="20"/>
          <w:szCs w:val="20"/>
        </w:rPr>
        <w:br/>
      </w:r>
    </w:p>
    <w:tbl>
      <w:tblPr>
        <w:tblpPr w:leftFromText="180" w:rightFromText="180" w:vertAnchor="text" w:horzAnchor="margin" w:tblpY="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6"/>
        <w:gridCol w:w="3565"/>
        <w:gridCol w:w="2149"/>
        <w:gridCol w:w="1874"/>
        <w:gridCol w:w="2156"/>
      </w:tblGrid>
      <w:tr w:rsidR="00B37046" w:rsidRPr="001867A4">
        <w:trPr>
          <w:trHeight w:val="621"/>
        </w:trPr>
        <w:tc>
          <w:tcPr>
            <w:tcW w:w="676" w:type="dxa"/>
            <w:vAlign w:val="center"/>
          </w:tcPr>
          <w:p w:rsidR="00B37046" w:rsidRPr="001867A4" w:rsidRDefault="00B37046" w:rsidP="00B37046">
            <w:pPr>
              <w:pStyle w:val="Web"/>
              <w:spacing w:before="0" w:beforeAutospacing="0" w:after="0" w:afterAutospacing="0"/>
              <w:jc w:val="center"/>
              <w:rPr>
                <w:rFonts w:ascii="Verdana" w:hAnsi="Verdana" w:cs="Calibri"/>
                <w:b/>
                <w:color w:val="000000"/>
                <w:sz w:val="20"/>
                <w:szCs w:val="20"/>
              </w:rPr>
            </w:pPr>
            <w:r w:rsidRPr="001867A4">
              <w:rPr>
                <w:rFonts w:ascii="Verdana" w:hAnsi="Verdana" w:cs="Calibri"/>
                <w:b/>
                <w:color w:val="000000"/>
                <w:sz w:val="20"/>
                <w:szCs w:val="20"/>
              </w:rPr>
              <w:t>α/α</w:t>
            </w:r>
          </w:p>
        </w:tc>
        <w:tc>
          <w:tcPr>
            <w:tcW w:w="3565" w:type="dxa"/>
            <w:vAlign w:val="center"/>
          </w:tcPr>
          <w:p w:rsidR="00B37046" w:rsidRPr="001867A4" w:rsidRDefault="00B37046" w:rsidP="00B37046">
            <w:pPr>
              <w:pStyle w:val="Web"/>
              <w:spacing w:before="0" w:beforeAutospacing="0" w:after="0" w:afterAutospacing="0"/>
              <w:jc w:val="center"/>
              <w:rPr>
                <w:rFonts w:ascii="Verdana" w:hAnsi="Verdana" w:cs="Calibri"/>
                <w:b/>
                <w:color w:val="000000"/>
                <w:sz w:val="20"/>
                <w:szCs w:val="20"/>
              </w:rPr>
            </w:pPr>
            <w:r w:rsidRPr="001867A4">
              <w:rPr>
                <w:rFonts w:ascii="Verdana" w:hAnsi="Verdana" w:cs="Calibri"/>
                <w:b/>
                <w:color w:val="000000"/>
                <w:sz w:val="20"/>
                <w:szCs w:val="20"/>
              </w:rPr>
              <w:t>Όνομα</w:t>
            </w:r>
          </w:p>
        </w:tc>
        <w:tc>
          <w:tcPr>
            <w:tcW w:w="2149" w:type="dxa"/>
            <w:vAlign w:val="center"/>
          </w:tcPr>
          <w:p w:rsidR="00B37046" w:rsidRPr="001867A4" w:rsidRDefault="00B37046" w:rsidP="00B37046">
            <w:pPr>
              <w:pStyle w:val="Web"/>
              <w:spacing w:before="0" w:beforeAutospacing="0" w:after="0" w:afterAutospacing="0"/>
              <w:jc w:val="center"/>
              <w:rPr>
                <w:rFonts w:ascii="Verdana" w:hAnsi="Verdana" w:cs="Calibri"/>
                <w:b/>
                <w:color w:val="000000"/>
                <w:sz w:val="20"/>
                <w:szCs w:val="20"/>
              </w:rPr>
            </w:pPr>
            <w:r w:rsidRPr="001867A4">
              <w:rPr>
                <w:rFonts w:ascii="Verdana" w:hAnsi="Verdana" w:cs="Calibri"/>
                <w:b/>
                <w:color w:val="000000"/>
                <w:sz w:val="20"/>
                <w:szCs w:val="20"/>
              </w:rPr>
              <w:t>Ειδικότητα</w:t>
            </w:r>
          </w:p>
        </w:tc>
        <w:tc>
          <w:tcPr>
            <w:tcW w:w="1874" w:type="dxa"/>
            <w:vAlign w:val="center"/>
          </w:tcPr>
          <w:p w:rsidR="00B37046" w:rsidRPr="001867A4" w:rsidRDefault="00B37046" w:rsidP="00B37046">
            <w:pPr>
              <w:pStyle w:val="Web"/>
              <w:spacing w:before="0" w:beforeAutospacing="0" w:after="0" w:afterAutospacing="0"/>
              <w:jc w:val="center"/>
              <w:rPr>
                <w:rFonts w:ascii="Verdana" w:hAnsi="Verdana" w:cs="Calibri"/>
                <w:b/>
                <w:color w:val="000000"/>
                <w:sz w:val="20"/>
                <w:szCs w:val="20"/>
              </w:rPr>
            </w:pPr>
            <w:r w:rsidRPr="001867A4">
              <w:rPr>
                <w:rFonts w:ascii="Verdana" w:hAnsi="Verdana" w:cs="Calibri"/>
                <w:b/>
                <w:color w:val="000000"/>
                <w:sz w:val="20"/>
                <w:szCs w:val="20"/>
              </w:rPr>
              <w:t>Σχολείο</w:t>
            </w:r>
          </w:p>
        </w:tc>
        <w:tc>
          <w:tcPr>
            <w:tcW w:w="2156" w:type="dxa"/>
            <w:vAlign w:val="center"/>
          </w:tcPr>
          <w:p w:rsidR="00B37046" w:rsidRPr="001867A4" w:rsidRDefault="00B37046" w:rsidP="00B37046">
            <w:pPr>
              <w:pStyle w:val="Web"/>
              <w:spacing w:before="0" w:beforeAutospacing="0" w:after="0" w:afterAutospacing="0"/>
              <w:jc w:val="center"/>
              <w:rPr>
                <w:rFonts w:ascii="Verdana" w:hAnsi="Verdana" w:cs="Calibri"/>
                <w:b/>
                <w:color w:val="000000"/>
                <w:sz w:val="20"/>
                <w:szCs w:val="20"/>
              </w:rPr>
            </w:pPr>
            <w:r w:rsidRPr="001867A4">
              <w:rPr>
                <w:rFonts w:ascii="Verdana" w:hAnsi="Verdana" w:cs="Calibri"/>
                <w:b/>
                <w:color w:val="000000"/>
                <w:sz w:val="20"/>
                <w:szCs w:val="20"/>
              </w:rPr>
              <w:t>Υπογραφή</w:t>
            </w:r>
          </w:p>
        </w:tc>
      </w:tr>
      <w:tr w:rsidR="00B37046" w:rsidRPr="001867A4">
        <w:trPr>
          <w:trHeight w:val="621"/>
        </w:trPr>
        <w:tc>
          <w:tcPr>
            <w:tcW w:w="676" w:type="dxa"/>
            <w:vAlign w:val="center"/>
          </w:tcPr>
          <w:p w:rsidR="00B37046" w:rsidRPr="001867A4" w:rsidRDefault="00B37046" w:rsidP="00B37046">
            <w:pPr>
              <w:pStyle w:val="Web"/>
              <w:spacing w:before="0" w:beforeAutospacing="0" w:after="0" w:afterAutospacing="0"/>
              <w:jc w:val="center"/>
              <w:rPr>
                <w:rFonts w:ascii="Verdana" w:hAnsi="Verdana" w:cs="Calibri"/>
                <w:color w:val="000000"/>
                <w:sz w:val="20"/>
                <w:szCs w:val="20"/>
              </w:rPr>
            </w:pPr>
          </w:p>
        </w:tc>
        <w:tc>
          <w:tcPr>
            <w:tcW w:w="3565"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c>
          <w:tcPr>
            <w:tcW w:w="2149"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c>
          <w:tcPr>
            <w:tcW w:w="1874"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c>
          <w:tcPr>
            <w:tcW w:w="2156"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r>
      <w:tr w:rsidR="00B37046" w:rsidRPr="001867A4">
        <w:trPr>
          <w:trHeight w:val="621"/>
        </w:trPr>
        <w:tc>
          <w:tcPr>
            <w:tcW w:w="676" w:type="dxa"/>
            <w:vAlign w:val="center"/>
          </w:tcPr>
          <w:p w:rsidR="00B37046" w:rsidRPr="001867A4" w:rsidRDefault="00B37046" w:rsidP="00B37046">
            <w:pPr>
              <w:pStyle w:val="Web"/>
              <w:spacing w:before="0" w:beforeAutospacing="0" w:after="0" w:afterAutospacing="0"/>
              <w:jc w:val="center"/>
              <w:rPr>
                <w:rFonts w:ascii="Verdana" w:hAnsi="Verdana" w:cs="Calibri"/>
                <w:color w:val="000000"/>
                <w:sz w:val="20"/>
                <w:szCs w:val="20"/>
              </w:rPr>
            </w:pPr>
          </w:p>
        </w:tc>
        <w:tc>
          <w:tcPr>
            <w:tcW w:w="3565"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c>
          <w:tcPr>
            <w:tcW w:w="2149"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c>
          <w:tcPr>
            <w:tcW w:w="1874"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c>
          <w:tcPr>
            <w:tcW w:w="2156" w:type="dxa"/>
          </w:tcPr>
          <w:p w:rsidR="00B37046" w:rsidRPr="001867A4" w:rsidRDefault="00B37046" w:rsidP="00B37046">
            <w:pPr>
              <w:pStyle w:val="Web"/>
              <w:spacing w:before="0" w:beforeAutospacing="0" w:after="0" w:afterAutospacing="0"/>
              <w:jc w:val="both"/>
              <w:rPr>
                <w:rFonts w:ascii="Verdana" w:hAnsi="Verdana" w:cs="Calibri"/>
                <w:color w:val="000000"/>
                <w:sz w:val="20"/>
                <w:szCs w:val="20"/>
              </w:rPr>
            </w:pPr>
          </w:p>
        </w:tc>
      </w:tr>
      <w:tr w:rsidR="00B37046" w:rsidRPr="001867A4">
        <w:trPr>
          <w:trHeight w:val="621"/>
        </w:trPr>
        <w:tc>
          <w:tcPr>
            <w:tcW w:w="676" w:type="dxa"/>
            <w:vAlign w:val="center"/>
          </w:tcPr>
          <w:p w:rsidR="00B37046" w:rsidRPr="001867A4" w:rsidRDefault="00B37046" w:rsidP="00B37046">
            <w:pPr>
              <w:pStyle w:val="Web"/>
              <w:spacing w:before="0" w:beforeAutospacing="0" w:after="0" w:afterAutospacing="0"/>
              <w:jc w:val="center"/>
              <w:rPr>
                <w:rFonts w:ascii="Verdana" w:hAnsi="Verdana" w:cs="Calibri"/>
                <w:color w:val="000000"/>
                <w:sz w:val="21"/>
                <w:szCs w:val="21"/>
              </w:rPr>
            </w:pPr>
          </w:p>
        </w:tc>
        <w:tc>
          <w:tcPr>
            <w:tcW w:w="3565" w:type="dxa"/>
          </w:tcPr>
          <w:p w:rsidR="00B37046" w:rsidRPr="001867A4" w:rsidRDefault="00B37046" w:rsidP="00B37046">
            <w:pPr>
              <w:pStyle w:val="Web"/>
              <w:spacing w:before="0" w:beforeAutospacing="0" w:after="0" w:afterAutospacing="0"/>
              <w:jc w:val="both"/>
              <w:rPr>
                <w:rFonts w:ascii="Verdana" w:hAnsi="Verdana" w:cs="Calibri"/>
                <w:color w:val="000000"/>
                <w:sz w:val="21"/>
                <w:szCs w:val="21"/>
              </w:rPr>
            </w:pPr>
          </w:p>
        </w:tc>
        <w:tc>
          <w:tcPr>
            <w:tcW w:w="2149" w:type="dxa"/>
          </w:tcPr>
          <w:p w:rsidR="00B37046" w:rsidRPr="001867A4" w:rsidRDefault="00B37046" w:rsidP="00B37046">
            <w:pPr>
              <w:pStyle w:val="Web"/>
              <w:spacing w:before="0" w:beforeAutospacing="0" w:after="0" w:afterAutospacing="0"/>
              <w:jc w:val="both"/>
              <w:rPr>
                <w:rFonts w:ascii="Verdana" w:hAnsi="Verdana" w:cs="Calibri"/>
                <w:color w:val="000000"/>
                <w:sz w:val="21"/>
                <w:szCs w:val="21"/>
              </w:rPr>
            </w:pPr>
          </w:p>
        </w:tc>
        <w:tc>
          <w:tcPr>
            <w:tcW w:w="1874" w:type="dxa"/>
          </w:tcPr>
          <w:p w:rsidR="00B37046" w:rsidRPr="001867A4" w:rsidRDefault="00B37046" w:rsidP="00B37046">
            <w:pPr>
              <w:pStyle w:val="Web"/>
              <w:spacing w:before="0" w:beforeAutospacing="0" w:after="0" w:afterAutospacing="0"/>
              <w:jc w:val="both"/>
              <w:rPr>
                <w:rFonts w:ascii="Verdana" w:hAnsi="Verdana" w:cs="Calibri"/>
                <w:color w:val="000000"/>
                <w:sz w:val="21"/>
                <w:szCs w:val="21"/>
              </w:rPr>
            </w:pPr>
          </w:p>
        </w:tc>
        <w:tc>
          <w:tcPr>
            <w:tcW w:w="2156" w:type="dxa"/>
          </w:tcPr>
          <w:p w:rsidR="00B37046" w:rsidRPr="001867A4" w:rsidRDefault="00B37046" w:rsidP="00B37046">
            <w:pPr>
              <w:pStyle w:val="Web"/>
              <w:spacing w:before="0" w:beforeAutospacing="0" w:after="0" w:afterAutospacing="0"/>
              <w:jc w:val="both"/>
              <w:rPr>
                <w:rFonts w:ascii="Verdana" w:hAnsi="Verdana" w:cs="Calibri"/>
                <w:color w:val="000000"/>
                <w:sz w:val="21"/>
                <w:szCs w:val="21"/>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21"/>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r w:rsidR="00B37046">
        <w:trPr>
          <w:trHeight w:val="649"/>
        </w:trPr>
        <w:tc>
          <w:tcPr>
            <w:tcW w:w="676" w:type="dxa"/>
            <w:vAlign w:val="center"/>
          </w:tcPr>
          <w:p w:rsidR="00B37046" w:rsidRDefault="00B37046" w:rsidP="00B37046">
            <w:pPr>
              <w:pStyle w:val="Web"/>
              <w:spacing w:before="0" w:beforeAutospacing="0" w:after="0" w:afterAutospacing="0"/>
              <w:jc w:val="center"/>
              <w:rPr>
                <w:rFonts w:ascii="Verdana" w:hAnsi="Verdana" w:cs="Calibri"/>
                <w:color w:val="000000"/>
                <w:sz w:val="22"/>
                <w:szCs w:val="22"/>
              </w:rPr>
            </w:pPr>
          </w:p>
        </w:tc>
        <w:tc>
          <w:tcPr>
            <w:tcW w:w="3565"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49"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1874"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c>
          <w:tcPr>
            <w:tcW w:w="2156" w:type="dxa"/>
          </w:tcPr>
          <w:p w:rsidR="00B37046" w:rsidRDefault="00B37046" w:rsidP="00B37046">
            <w:pPr>
              <w:pStyle w:val="Web"/>
              <w:spacing w:before="0" w:beforeAutospacing="0" w:after="0" w:afterAutospacing="0"/>
              <w:jc w:val="both"/>
              <w:rPr>
                <w:rFonts w:ascii="Verdana" w:hAnsi="Verdana" w:cs="Calibri"/>
                <w:color w:val="000000"/>
                <w:sz w:val="22"/>
                <w:szCs w:val="22"/>
              </w:rPr>
            </w:pPr>
          </w:p>
        </w:tc>
      </w:tr>
    </w:tbl>
    <w:p w:rsidR="00C953A9" w:rsidRDefault="00C953A9">
      <w:pPr>
        <w:pStyle w:val="Web"/>
        <w:spacing w:before="0" w:beforeAutospacing="0" w:after="0" w:afterAutospacing="0" w:line="280" w:lineRule="atLeast"/>
        <w:jc w:val="both"/>
        <w:rPr>
          <w:rFonts w:ascii="Verdana" w:hAnsi="Verdana" w:cs="Calibri"/>
          <w:sz w:val="22"/>
          <w:szCs w:val="22"/>
        </w:rPr>
      </w:pPr>
    </w:p>
    <w:p w:rsidR="001867A4" w:rsidRPr="00B37046" w:rsidRDefault="001867A4" w:rsidP="00A642BC">
      <w:pPr>
        <w:pStyle w:val="3"/>
        <w:jc w:val="left"/>
        <w:rPr>
          <w:sz w:val="16"/>
          <w:szCs w:val="16"/>
          <w:u w:val="none"/>
        </w:rPr>
      </w:pPr>
      <w:r w:rsidRPr="00B37046">
        <w:rPr>
          <w:sz w:val="16"/>
          <w:szCs w:val="16"/>
          <w:u w:val="none"/>
        </w:rPr>
        <w:t>Για το Διοικητικό Συμβούλιο</w:t>
      </w:r>
    </w:p>
    <w:p w:rsidR="00C953A9" w:rsidRPr="00A642BC" w:rsidRDefault="007A1C34" w:rsidP="00A642BC">
      <w:pPr>
        <w:suppressAutoHyphens/>
        <w:spacing w:line="360" w:lineRule="auto"/>
        <w:rPr>
          <w:b/>
          <w:sz w:val="16"/>
          <w:szCs w:val="16"/>
        </w:rPr>
      </w:pPr>
      <w:r>
        <w:rPr>
          <w:b/>
          <w:noProof/>
          <w:sz w:val="16"/>
          <w:szCs w:val="16"/>
          <w:lang w:eastAsia="el-GR"/>
        </w:rPr>
        <w:drawing>
          <wp:anchor distT="0" distB="0" distL="114300" distR="114300" simplePos="0" relativeHeight="251657728" behindDoc="0" locked="0" layoutInCell="1" allowOverlap="1">
            <wp:simplePos x="0" y="0"/>
            <wp:positionH relativeFrom="column">
              <wp:posOffset>2057400</wp:posOffset>
            </wp:positionH>
            <wp:positionV relativeFrom="paragraph">
              <wp:posOffset>79375</wp:posOffset>
            </wp:positionV>
            <wp:extent cx="1270635" cy="1228725"/>
            <wp:effectExtent l="19050" t="0" r="5715" b="0"/>
            <wp:wrapSquare wrapText="bothSides"/>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srcRect l="32550" t="10326" r="40326" b="10869"/>
                    <a:stretch>
                      <a:fillRect/>
                    </a:stretch>
                  </pic:blipFill>
                  <pic:spPr bwMode="auto">
                    <a:xfrm>
                      <a:off x="0" y="0"/>
                      <a:ext cx="1270635" cy="1228725"/>
                    </a:xfrm>
                    <a:prstGeom prst="rect">
                      <a:avLst/>
                    </a:prstGeom>
                    <a:noFill/>
                    <a:ln w="9525">
                      <a:noFill/>
                      <a:miter lim="800000"/>
                      <a:headEnd/>
                      <a:tailEnd/>
                    </a:ln>
                  </pic:spPr>
                </pic:pic>
              </a:graphicData>
            </a:graphic>
          </wp:anchor>
        </w:drawing>
      </w:r>
      <w:r w:rsidR="00B37046">
        <w:t xml:space="preserve">  </w:t>
      </w:r>
      <w:r w:rsidR="001867A4" w:rsidRPr="001867A4">
        <w:t xml:space="preserve"> Η   ΠΡΟΕΔΡΟΣ                                                  </w:t>
      </w:r>
      <w:r w:rsidR="00B37046">
        <w:t xml:space="preserve">       </w:t>
      </w:r>
      <w:r w:rsidR="001867A4" w:rsidRPr="001867A4">
        <w:t xml:space="preserve">Η ΓΡΑΜΜΑΤΕΑΣ                                                                                                                                                                                                </w:t>
      </w:r>
      <w:r w:rsidR="001867A4" w:rsidRPr="00B37046">
        <w:rPr>
          <w:b/>
        </w:rPr>
        <w:t xml:space="preserve"> Χήρα    Αγαθή</w:t>
      </w:r>
      <w:r w:rsidR="001867A4" w:rsidRPr="001867A4">
        <w:rPr>
          <w:b/>
        </w:rPr>
        <w:t xml:space="preserve">                                                     </w:t>
      </w:r>
      <w:r w:rsidR="001867A4" w:rsidRPr="00B37046">
        <w:rPr>
          <w:b/>
        </w:rPr>
        <w:t>Παπακώστα Μαργαρίτα</w:t>
      </w:r>
    </w:p>
    <w:sectPr w:rsidR="00C953A9" w:rsidRPr="00A642BC">
      <w:pgSz w:w="11906" w:h="16838"/>
      <w:pgMar w:top="1440"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Liberation Serif">
    <w:altName w:val="Arial Unicode MS"/>
    <w:charset w:val="80"/>
    <w:family w:val="roman"/>
    <w:pitch w:val="variable"/>
    <w:sig w:usb0="00000000" w:usb1="00000000" w:usb2="00000000" w:usb3="00000000" w:csb0="00000000" w:csb1="00000000"/>
  </w:font>
  <w:font w:name="Droid Sans Fallback">
    <w:altName w:val="Arial Unicode MS"/>
    <w:charset w:val="80"/>
    <w:family w:val="auto"/>
    <w:pitch w:val="variable"/>
    <w:sig w:usb0="00000000" w:usb1="00000000" w:usb2="00000000" w:usb3="00000000" w:csb0="00000000" w:csb1="00000000"/>
  </w:font>
  <w:font w:name="Lohit Hindi">
    <w:altName w:val="Arial Unicode MS"/>
    <w:charset w:val="80"/>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D033E"/>
    <w:multiLevelType w:val="hybridMultilevel"/>
    <w:tmpl w:val="2DEACB5A"/>
    <w:lvl w:ilvl="0" w:tplc="04080001">
      <w:start w:val="1"/>
      <w:numFmt w:val="bullet"/>
      <w:lvlText w:val=""/>
      <w:lvlJc w:val="left"/>
      <w:pPr>
        <w:ind w:left="1260" w:hanging="360"/>
      </w:pPr>
      <w:rPr>
        <w:rFonts w:ascii="Symbol" w:hAnsi="Symbol" w:cs="Symbol" w:hint="default"/>
      </w:rPr>
    </w:lvl>
    <w:lvl w:ilvl="1" w:tplc="04080003">
      <w:start w:val="1"/>
      <w:numFmt w:val="bullet"/>
      <w:lvlText w:val="o"/>
      <w:lvlJc w:val="left"/>
      <w:pPr>
        <w:ind w:left="1980" w:hanging="360"/>
      </w:pPr>
      <w:rPr>
        <w:rFonts w:ascii="Courier New" w:hAnsi="Courier New" w:cs="Courier New" w:hint="default"/>
      </w:rPr>
    </w:lvl>
    <w:lvl w:ilvl="2" w:tplc="04080005">
      <w:start w:val="1"/>
      <w:numFmt w:val="bullet"/>
      <w:lvlText w:val=""/>
      <w:lvlJc w:val="left"/>
      <w:pPr>
        <w:ind w:left="2700" w:hanging="360"/>
      </w:pPr>
      <w:rPr>
        <w:rFonts w:ascii="Wingdings" w:hAnsi="Wingdings" w:cs="Wingdings" w:hint="default"/>
      </w:rPr>
    </w:lvl>
    <w:lvl w:ilvl="3" w:tplc="04080001">
      <w:start w:val="1"/>
      <w:numFmt w:val="bullet"/>
      <w:lvlText w:val=""/>
      <w:lvlJc w:val="left"/>
      <w:pPr>
        <w:ind w:left="3420" w:hanging="360"/>
      </w:pPr>
      <w:rPr>
        <w:rFonts w:ascii="Symbol" w:hAnsi="Symbol" w:cs="Symbol" w:hint="default"/>
      </w:rPr>
    </w:lvl>
    <w:lvl w:ilvl="4" w:tplc="04080003">
      <w:start w:val="1"/>
      <w:numFmt w:val="bullet"/>
      <w:lvlText w:val="o"/>
      <w:lvlJc w:val="left"/>
      <w:pPr>
        <w:ind w:left="4140" w:hanging="360"/>
      </w:pPr>
      <w:rPr>
        <w:rFonts w:ascii="Courier New" w:hAnsi="Courier New" w:cs="Courier New" w:hint="default"/>
      </w:rPr>
    </w:lvl>
    <w:lvl w:ilvl="5" w:tplc="04080005">
      <w:start w:val="1"/>
      <w:numFmt w:val="bullet"/>
      <w:lvlText w:val=""/>
      <w:lvlJc w:val="left"/>
      <w:pPr>
        <w:ind w:left="4860" w:hanging="360"/>
      </w:pPr>
      <w:rPr>
        <w:rFonts w:ascii="Wingdings" w:hAnsi="Wingdings" w:cs="Wingdings" w:hint="default"/>
      </w:rPr>
    </w:lvl>
    <w:lvl w:ilvl="6" w:tplc="04080001">
      <w:start w:val="1"/>
      <w:numFmt w:val="bullet"/>
      <w:lvlText w:val=""/>
      <w:lvlJc w:val="left"/>
      <w:pPr>
        <w:ind w:left="5580" w:hanging="360"/>
      </w:pPr>
      <w:rPr>
        <w:rFonts w:ascii="Symbol" w:hAnsi="Symbol" w:cs="Symbol" w:hint="default"/>
      </w:rPr>
    </w:lvl>
    <w:lvl w:ilvl="7" w:tplc="04080003">
      <w:start w:val="1"/>
      <w:numFmt w:val="bullet"/>
      <w:lvlText w:val="o"/>
      <w:lvlJc w:val="left"/>
      <w:pPr>
        <w:ind w:left="6300" w:hanging="360"/>
      </w:pPr>
      <w:rPr>
        <w:rFonts w:ascii="Courier New" w:hAnsi="Courier New" w:cs="Courier New" w:hint="default"/>
      </w:rPr>
    </w:lvl>
    <w:lvl w:ilvl="8" w:tplc="04080005">
      <w:start w:val="1"/>
      <w:numFmt w:val="bullet"/>
      <w:lvlText w:val=""/>
      <w:lvlJc w:val="left"/>
      <w:pPr>
        <w:ind w:left="7020" w:hanging="360"/>
      </w:pPr>
      <w:rPr>
        <w:rFonts w:ascii="Wingdings" w:hAnsi="Wingdings" w:cs="Wingdings" w:hint="default"/>
      </w:rPr>
    </w:lvl>
  </w:abstractNum>
  <w:abstractNum w:abstractNumId="1">
    <w:nsid w:val="3DA17744"/>
    <w:multiLevelType w:val="hybridMultilevel"/>
    <w:tmpl w:val="9C46A1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520BD3"/>
    <w:multiLevelType w:val="hybridMultilevel"/>
    <w:tmpl w:val="8A60EA14"/>
    <w:lvl w:ilvl="0" w:tplc="0408000F">
      <w:start w:val="1"/>
      <w:numFmt w:val="decimal"/>
      <w:lvlText w:val="%1."/>
      <w:lvlJc w:val="left"/>
      <w:pPr>
        <w:tabs>
          <w:tab w:val="num" w:pos="1260"/>
        </w:tabs>
        <w:ind w:left="1260" w:hanging="360"/>
      </w:pPr>
      <w:rPr>
        <w:rFonts w:hint="default"/>
      </w:rPr>
    </w:lvl>
    <w:lvl w:ilvl="1" w:tplc="04080003">
      <w:start w:val="1"/>
      <w:numFmt w:val="bullet"/>
      <w:lvlText w:val="o"/>
      <w:lvlJc w:val="left"/>
      <w:pPr>
        <w:ind w:left="1980" w:hanging="360"/>
      </w:pPr>
      <w:rPr>
        <w:rFonts w:ascii="Courier New" w:hAnsi="Courier New" w:cs="Courier New" w:hint="default"/>
      </w:rPr>
    </w:lvl>
    <w:lvl w:ilvl="2" w:tplc="04080005">
      <w:start w:val="1"/>
      <w:numFmt w:val="bullet"/>
      <w:lvlText w:val=""/>
      <w:lvlJc w:val="left"/>
      <w:pPr>
        <w:ind w:left="2700" w:hanging="360"/>
      </w:pPr>
      <w:rPr>
        <w:rFonts w:ascii="Wingdings" w:hAnsi="Wingdings" w:cs="Wingdings" w:hint="default"/>
      </w:rPr>
    </w:lvl>
    <w:lvl w:ilvl="3" w:tplc="04080001">
      <w:start w:val="1"/>
      <w:numFmt w:val="bullet"/>
      <w:lvlText w:val=""/>
      <w:lvlJc w:val="left"/>
      <w:pPr>
        <w:ind w:left="3420" w:hanging="360"/>
      </w:pPr>
      <w:rPr>
        <w:rFonts w:ascii="Symbol" w:hAnsi="Symbol" w:cs="Symbol" w:hint="default"/>
      </w:rPr>
    </w:lvl>
    <w:lvl w:ilvl="4" w:tplc="04080003">
      <w:start w:val="1"/>
      <w:numFmt w:val="bullet"/>
      <w:lvlText w:val="o"/>
      <w:lvlJc w:val="left"/>
      <w:pPr>
        <w:ind w:left="4140" w:hanging="360"/>
      </w:pPr>
      <w:rPr>
        <w:rFonts w:ascii="Courier New" w:hAnsi="Courier New" w:cs="Courier New" w:hint="default"/>
      </w:rPr>
    </w:lvl>
    <w:lvl w:ilvl="5" w:tplc="04080005">
      <w:start w:val="1"/>
      <w:numFmt w:val="bullet"/>
      <w:lvlText w:val=""/>
      <w:lvlJc w:val="left"/>
      <w:pPr>
        <w:ind w:left="4860" w:hanging="360"/>
      </w:pPr>
      <w:rPr>
        <w:rFonts w:ascii="Wingdings" w:hAnsi="Wingdings" w:cs="Wingdings" w:hint="default"/>
      </w:rPr>
    </w:lvl>
    <w:lvl w:ilvl="6" w:tplc="04080001">
      <w:start w:val="1"/>
      <w:numFmt w:val="bullet"/>
      <w:lvlText w:val=""/>
      <w:lvlJc w:val="left"/>
      <w:pPr>
        <w:ind w:left="5580" w:hanging="360"/>
      </w:pPr>
      <w:rPr>
        <w:rFonts w:ascii="Symbol" w:hAnsi="Symbol" w:cs="Symbol" w:hint="default"/>
      </w:rPr>
    </w:lvl>
    <w:lvl w:ilvl="7" w:tplc="04080003">
      <w:start w:val="1"/>
      <w:numFmt w:val="bullet"/>
      <w:lvlText w:val="o"/>
      <w:lvlJc w:val="left"/>
      <w:pPr>
        <w:ind w:left="6300" w:hanging="360"/>
      </w:pPr>
      <w:rPr>
        <w:rFonts w:ascii="Courier New" w:hAnsi="Courier New" w:cs="Courier New" w:hint="default"/>
      </w:rPr>
    </w:lvl>
    <w:lvl w:ilvl="8" w:tplc="04080005">
      <w:start w:val="1"/>
      <w:numFmt w:val="bullet"/>
      <w:lvlText w:val=""/>
      <w:lvlJc w:val="left"/>
      <w:pPr>
        <w:ind w:left="7020" w:hanging="360"/>
      </w:pPr>
      <w:rPr>
        <w:rFonts w:ascii="Wingdings" w:hAnsi="Wingdings" w:cs="Wingdings" w:hint="default"/>
      </w:rPr>
    </w:lvl>
  </w:abstractNum>
  <w:abstractNum w:abstractNumId="3">
    <w:nsid w:val="57C447C6"/>
    <w:multiLevelType w:val="hybridMultilevel"/>
    <w:tmpl w:val="50F89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CFD3215"/>
    <w:multiLevelType w:val="hybridMultilevel"/>
    <w:tmpl w:val="03F06A6C"/>
    <w:lvl w:ilvl="0" w:tplc="0408000F">
      <w:start w:val="1"/>
      <w:numFmt w:val="decimal"/>
      <w:lvlText w:val="%1."/>
      <w:lvlJc w:val="left"/>
      <w:pPr>
        <w:ind w:left="3" w:hanging="360"/>
      </w:pPr>
      <w:rPr>
        <w:rFonts w:hint="default"/>
      </w:rPr>
    </w:lvl>
    <w:lvl w:ilvl="1" w:tplc="04080019" w:tentative="1">
      <w:start w:val="1"/>
      <w:numFmt w:val="lowerLetter"/>
      <w:lvlText w:val="%2."/>
      <w:lvlJc w:val="left"/>
      <w:pPr>
        <w:ind w:left="723" w:hanging="360"/>
      </w:pPr>
    </w:lvl>
    <w:lvl w:ilvl="2" w:tplc="0408001B" w:tentative="1">
      <w:start w:val="1"/>
      <w:numFmt w:val="lowerRoman"/>
      <w:lvlText w:val="%3."/>
      <w:lvlJc w:val="right"/>
      <w:pPr>
        <w:ind w:left="1443" w:hanging="180"/>
      </w:pPr>
    </w:lvl>
    <w:lvl w:ilvl="3" w:tplc="0408000F" w:tentative="1">
      <w:start w:val="1"/>
      <w:numFmt w:val="decimal"/>
      <w:lvlText w:val="%4."/>
      <w:lvlJc w:val="left"/>
      <w:pPr>
        <w:ind w:left="2163" w:hanging="360"/>
      </w:pPr>
    </w:lvl>
    <w:lvl w:ilvl="4" w:tplc="04080019" w:tentative="1">
      <w:start w:val="1"/>
      <w:numFmt w:val="lowerLetter"/>
      <w:lvlText w:val="%5."/>
      <w:lvlJc w:val="left"/>
      <w:pPr>
        <w:ind w:left="2883" w:hanging="360"/>
      </w:pPr>
    </w:lvl>
    <w:lvl w:ilvl="5" w:tplc="0408001B" w:tentative="1">
      <w:start w:val="1"/>
      <w:numFmt w:val="lowerRoman"/>
      <w:lvlText w:val="%6."/>
      <w:lvlJc w:val="right"/>
      <w:pPr>
        <w:ind w:left="3603" w:hanging="180"/>
      </w:pPr>
    </w:lvl>
    <w:lvl w:ilvl="6" w:tplc="0408000F" w:tentative="1">
      <w:start w:val="1"/>
      <w:numFmt w:val="decimal"/>
      <w:lvlText w:val="%7."/>
      <w:lvlJc w:val="left"/>
      <w:pPr>
        <w:ind w:left="4323" w:hanging="360"/>
      </w:pPr>
    </w:lvl>
    <w:lvl w:ilvl="7" w:tplc="04080019" w:tentative="1">
      <w:start w:val="1"/>
      <w:numFmt w:val="lowerLetter"/>
      <w:lvlText w:val="%8."/>
      <w:lvlJc w:val="left"/>
      <w:pPr>
        <w:ind w:left="5043" w:hanging="360"/>
      </w:pPr>
    </w:lvl>
    <w:lvl w:ilvl="8" w:tplc="0408001B" w:tentative="1">
      <w:start w:val="1"/>
      <w:numFmt w:val="lowerRoman"/>
      <w:lvlText w:val="%9."/>
      <w:lvlJc w:val="right"/>
      <w:pPr>
        <w:ind w:left="5763" w:hanging="180"/>
      </w:pPr>
    </w:lvl>
  </w:abstractNum>
  <w:abstractNum w:abstractNumId="5">
    <w:nsid w:val="6AAB0178"/>
    <w:multiLevelType w:val="hybridMultilevel"/>
    <w:tmpl w:val="59BABFF2"/>
    <w:lvl w:ilvl="0" w:tplc="A5369118">
      <w:start w:val="1"/>
      <w:numFmt w:val="decimal"/>
      <w:lvlText w:val="%1)"/>
      <w:lvlJc w:val="left"/>
      <w:pPr>
        <w:ind w:left="3" w:hanging="360"/>
      </w:pPr>
      <w:rPr>
        <w:rFonts w:hint="default"/>
      </w:rPr>
    </w:lvl>
    <w:lvl w:ilvl="1" w:tplc="04080019" w:tentative="1">
      <w:start w:val="1"/>
      <w:numFmt w:val="lowerLetter"/>
      <w:lvlText w:val="%2."/>
      <w:lvlJc w:val="left"/>
      <w:pPr>
        <w:ind w:left="723" w:hanging="360"/>
      </w:pPr>
    </w:lvl>
    <w:lvl w:ilvl="2" w:tplc="0408001B" w:tentative="1">
      <w:start w:val="1"/>
      <w:numFmt w:val="lowerRoman"/>
      <w:lvlText w:val="%3."/>
      <w:lvlJc w:val="right"/>
      <w:pPr>
        <w:ind w:left="1443" w:hanging="180"/>
      </w:pPr>
    </w:lvl>
    <w:lvl w:ilvl="3" w:tplc="0408000F" w:tentative="1">
      <w:start w:val="1"/>
      <w:numFmt w:val="decimal"/>
      <w:lvlText w:val="%4."/>
      <w:lvlJc w:val="left"/>
      <w:pPr>
        <w:ind w:left="2163" w:hanging="360"/>
      </w:pPr>
    </w:lvl>
    <w:lvl w:ilvl="4" w:tplc="04080019" w:tentative="1">
      <w:start w:val="1"/>
      <w:numFmt w:val="lowerLetter"/>
      <w:lvlText w:val="%5."/>
      <w:lvlJc w:val="left"/>
      <w:pPr>
        <w:ind w:left="2883" w:hanging="360"/>
      </w:pPr>
    </w:lvl>
    <w:lvl w:ilvl="5" w:tplc="0408001B" w:tentative="1">
      <w:start w:val="1"/>
      <w:numFmt w:val="lowerRoman"/>
      <w:lvlText w:val="%6."/>
      <w:lvlJc w:val="right"/>
      <w:pPr>
        <w:ind w:left="3603" w:hanging="180"/>
      </w:pPr>
    </w:lvl>
    <w:lvl w:ilvl="6" w:tplc="0408000F" w:tentative="1">
      <w:start w:val="1"/>
      <w:numFmt w:val="decimal"/>
      <w:lvlText w:val="%7."/>
      <w:lvlJc w:val="left"/>
      <w:pPr>
        <w:ind w:left="4323" w:hanging="360"/>
      </w:pPr>
    </w:lvl>
    <w:lvl w:ilvl="7" w:tplc="04080019" w:tentative="1">
      <w:start w:val="1"/>
      <w:numFmt w:val="lowerLetter"/>
      <w:lvlText w:val="%8."/>
      <w:lvlJc w:val="left"/>
      <w:pPr>
        <w:ind w:left="5043" w:hanging="360"/>
      </w:pPr>
    </w:lvl>
    <w:lvl w:ilvl="8" w:tplc="0408001B" w:tentative="1">
      <w:start w:val="1"/>
      <w:numFmt w:val="lowerRoman"/>
      <w:lvlText w:val="%9."/>
      <w:lvlJc w:val="right"/>
      <w:pPr>
        <w:ind w:left="5763" w:hanging="180"/>
      </w:pPr>
    </w:lvl>
  </w:abstractNum>
  <w:abstractNum w:abstractNumId="6">
    <w:nsid w:val="775D03FC"/>
    <w:multiLevelType w:val="hybridMultilevel"/>
    <w:tmpl w:val="202C83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7B2E62A4"/>
    <w:multiLevelType w:val="hybridMultilevel"/>
    <w:tmpl w:val="E8D822AE"/>
    <w:lvl w:ilvl="0" w:tplc="0408000F">
      <w:start w:val="1"/>
      <w:numFmt w:val="decimal"/>
      <w:lvlText w:val="%1."/>
      <w:lvlJc w:val="left"/>
      <w:pPr>
        <w:ind w:left="363" w:hanging="360"/>
      </w:p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num w:numId="1">
    <w:abstractNumId w:val="0"/>
  </w:num>
  <w:num w:numId="2">
    <w:abstractNumId w:val="2"/>
  </w:num>
  <w:num w:numId="3">
    <w:abstractNumId w:val="7"/>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characterSpacingControl w:val="doNotCompress"/>
  <w:compat/>
  <w:rsids>
    <w:rsidRoot w:val="00E43727"/>
    <w:rsid w:val="00034A0E"/>
    <w:rsid w:val="00051B42"/>
    <w:rsid w:val="00097E46"/>
    <w:rsid w:val="001867A4"/>
    <w:rsid w:val="001A6644"/>
    <w:rsid w:val="003A0AEC"/>
    <w:rsid w:val="00462853"/>
    <w:rsid w:val="00553F96"/>
    <w:rsid w:val="0055667B"/>
    <w:rsid w:val="005B5936"/>
    <w:rsid w:val="005F04D3"/>
    <w:rsid w:val="007A1C34"/>
    <w:rsid w:val="00851065"/>
    <w:rsid w:val="00A642BC"/>
    <w:rsid w:val="00B37046"/>
    <w:rsid w:val="00BE1438"/>
    <w:rsid w:val="00C953A9"/>
    <w:rsid w:val="00D13A99"/>
    <w:rsid w:val="00D17BC9"/>
    <w:rsid w:val="00E437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eastAsia="Times New Roman" w:cs="Calibri"/>
      <w:sz w:val="22"/>
      <w:szCs w:val="22"/>
      <w:lang w:eastAsia="en-US"/>
    </w:rPr>
  </w:style>
  <w:style w:type="paragraph" w:styleId="1">
    <w:name w:val="heading 1"/>
    <w:basedOn w:val="a"/>
    <w:next w:val="a"/>
    <w:qFormat/>
    <w:rsid w:val="00D13A99"/>
    <w:pPr>
      <w:keepNext/>
      <w:suppressAutoHyphens/>
      <w:spacing w:after="0" w:line="360" w:lineRule="auto"/>
      <w:outlineLvl w:val="0"/>
    </w:pPr>
    <w:rPr>
      <w:rFonts w:ascii="Times New Roman" w:hAnsi="Times New Roman" w:cs="Times New Roman"/>
      <w:b/>
      <w:sz w:val="20"/>
      <w:szCs w:val="24"/>
      <w:lang w:eastAsia="el-GR"/>
    </w:rPr>
  </w:style>
  <w:style w:type="paragraph" w:styleId="3">
    <w:name w:val="heading 3"/>
    <w:basedOn w:val="a"/>
    <w:next w:val="a"/>
    <w:qFormat/>
    <w:rsid w:val="00D13A99"/>
    <w:pPr>
      <w:keepNext/>
      <w:suppressAutoHyphens/>
      <w:spacing w:after="0" w:line="360" w:lineRule="auto"/>
      <w:jc w:val="center"/>
      <w:outlineLvl w:val="2"/>
    </w:pPr>
    <w:rPr>
      <w:rFonts w:ascii="Times New Roman" w:hAnsi="Times New Roman" w:cs="Times New Roman"/>
      <w:b/>
      <w:sz w:val="28"/>
      <w:szCs w:val="24"/>
      <w:u w:val="single"/>
      <w:lang w:eastAsia="el-G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pPr>
      <w:spacing w:before="100" w:beforeAutospacing="1" w:after="100" w:afterAutospacing="1" w:line="240" w:lineRule="auto"/>
    </w:pPr>
    <w:rPr>
      <w:rFonts w:eastAsia="Calibri" w:cs="Times New Roman"/>
      <w:sz w:val="24"/>
      <w:szCs w:val="24"/>
      <w:lang w:eastAsia="el-GR"/>
    </w:rPr>
  </w:style>
  <w:style w:type="character" w:customStyle="1" w:styleId="apple-converted-space">
    <w:name w:val="apple-converted-space"/>
    <w:basedOn w:val="a0"/>
  </w:style>
  <w:style w:type="character" w:styleId="-">
    <w:name w:val="Hyperlink"/>
    <w:rPr>
      <w:color w:val="0000FF"/>
      <w:u w:val="single"/>
    </w:rPr>
  </w:style>
  <w:style w:type="paragraph" w:customStyle="1" w:styleId="ListParagraph">
    <w:name w:val="List Paragraph"/>
    <w:basedOn w:val="a"/>
    <w:qFormat/>
    <w:pPr>
      <w:ind w:left="720"/>
      <w:contextualSpacing/>
    </w:pPr>
    <w:rPr>
      <w:rFonts w:eastAsia="Calibri" w:cs="Times New Roman"/>
    </w:rPr>
  </w:style>
  <w:style w:type="paragraph" w:customStyle="1" w:styleId="Web1">
    <w:name w:val="Κανονικό (Web)1"/>
    <w:basedOn w:val="a"/>
    <w:pPr>
      <w:widowControl w:val="0"/>
      <w:suppressAutoHyphens/>
      <w:spacing w:before="80" w:after="100" w:line="240" w:lineRule="auto"/>
    </w:pPr>
    <w:rPr>
      <w:rFonts w:ascii="Times New Roman" w:eastAsia="Arial" w:hAnsi="Times New Roman"/>
      <w:kern w:val="1"/>
      <w:sz w:val="24"/>
      <w:szCs w:val="24"/>
    </w:rPr>
  </w:style>
  <w:style w:type="paragraph" w:styleId="a3">
    <w:name w:val="Body Text"/>
    <w:basedOn w:val="a"/>
    <w:pPr>
      <w:spacing w:after="0" w:line="240" w:lineRule="auto"/>
      <w:jc w:val="right"/>
    </w:pPr>
    <w:rPr>
      <w:rFonts w:ascii="Times New Roman" w:hAnsi="Times New Roman"/>
      <w:sz w:val="24"/>
      <w:szCs w:val="24"/>
      <w:lang w:eastAsia="el-GR"/>
    </w:rPr>
  </w:style>
  <w:style w:type="paragraph" w:customStyle="1" w:styleId="WW-">
    <w:name w:val="WW-Προεπιλογή"/>
    <w:rsid w:val="00851065"/>
    <w:pPr>
      <w:widowControl w:val="0"/>
      <w:tabs>
        <w:tab w:val="left" w:pos="709"/>
      </w:tabs>
      <w:suppressAutoHyphens/>
      <w:spacing w:after="200" w:line="276" w:lineRule="auto"/>
    </w:pPr>
    <w:rPr>
      <w:rFonts w:ascii="Liberation Serif" w:eastAsia="Droid Sans Fallback" w:hAnsi="Liberation Serif" w:cs="Lohit Hindi"/>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3157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Πρωτοβουλία Αναπληρωτών-Ωρομισθίων</vt:lpstr>
    </vt:vector>
  </TitlesOfParts>
  <Company>Grizli777</Company>
  <LinksUpToDate>false</LinksUpToDate>
  <CharactersWithSpaces>3734</CharactersWithSpaces>
  <SharedDoc>false</SharedDoc>
  <HLinks>
    <vt:vector size="24" baseType="variant">
      <vt:variant>
        <vt:i4>458843</vt:i4>
      </vt:variant>
      <vt:variant>
        <vt:i4>9</vt:i4>
      </vt:variant>
      <vt:variant>
        <vt:i4>0</vt:i4>
      </vt:variant>
      <vt:variant>
        <vt:i4>5</vt:i4>
      </vt:variant>
      <vt:variant>
        <vt:lpwstr>http://www.sepeilioupolis.gr/</vt:lpwstr>
      </vt:variant>
      <vt:variant>
        <vt:lpwstr/>
      </vt:variant>
      <vt:variant>
        <vt:i4>2490389</vt:i4>
      </vt:variant>
      <vt:variant>
        <vt:i4>6</vt:i4>
      </vt:variant>
      <vt:variant>
        <vt:i4>0</vt:i4>
      </vt:variant>
      <vt:variant>
        <vt:i4>5</vt:i4>
      </vt:variant>
      <vt:variant>
        <vt:lpwstr>mailto:info@sepeilioupolis.gr</vt:lpwstr>
      </vt:variant>
      <vt:variant>
        <vt:lpwstr/>
      </vt:variant>
      <vt:variant>
        <vt:i4>2490389</vt:i4>
      </vt:variant>
      <vt:variant>
        <vt:i4>3</vt:i4>
      </vt:variant>
      <vt:variant>
        <vt:i4>0</vt:i4>
      </vt:variant>
      <vt:variant>
        <vt:i4>5</vt:i4>
      </vt:variant>
      <vt:variant>
        <vt:lpwstr>mailto:info@sepeilioupolis.gr</vt:lpwstr>
      </vt:variant>
      <vt:variant>
        <vt:lpwstr/>
      </vt:variant>
      <vt:variant>
        <vt:i4>458843</vt:i4>
      </vt:variant>
      <vt:variant>
        <vt:i4>0</vt:i4>
      </vt:variant>
      <vt:variant>
        <vt:i4>0</vt:i4>
      </vt:variant>
      <vt:variant>
        <vt:i4>5</vt:i4>
      </vt:variant>
      <vt:variant>
        <vt:lpwstr>http://www.sepeilioupolis.gr/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Πρωτοβουλία Αναπληρωτών-Ωρομισθίων</dc:title>
  <dc:subject/>
  <dc:creator>User</dc:creator>
  <cp:keywords/>
  <cp:lastModifiedBy>gia-eyt</cp:lastModifiedBy>
  <cp:revision>2</cp:revision>
  <dcterms:created xsi:type="dcterms:W3CDTF">2015-06-11T17:07:00Z</dcterms:created>
  <dcterms:modified xsi:type="dcterms:W3CDTF">2015-06-11T17:07:00Z</dcterms:modified>
</cp:coreProperties>
</file>